
<file path=[Content_Types].xml><?xml version="1.0" encoding="utf-8"?>
<Types xmlns="http://schemas.openxmlformats.org/package/2006/content-types">
  <Default Extension="xml" ContentType="application/vnd.openxmlformats-officedocument.wordprocessingml.styles+xml"/>
  <Default Extension="png" ContentType="image/png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/Relationships>
</file>

<file path=word/document.xml><?xml version="1.0" encoding="utf-8"?>
<w:document xmlns:r="http://schemas.openxmlformats.org/officeDocument/2006/relationships" xmlns:m="http://schemas.openxmlformats.org/officeDocument/2006/math" xmlns:w="http://schemas.openxmlformats.org/wordprocessingml/2006/main">
  <w:body>
    <w:p>
      <w:pPr>
        <w:jc w:val="center"/>
      </w:pPr>
      <w:r>
        <w:t>Министерство науки и высшего образования Республики Казахстан</w:t>
      </w:r>
    </w:p>
    <w:p/>
    <w:p>
      <w:pPr>
        <w:jc w:val="center"/>
      </w:pPr>
      <w:r>
        <w:t>ВКТУ им.Д.Серикбаева</w:t>
      </w:r>
    </w:p>
    <w:p/>
    <w:p/>
    <w:p>
      <w:pPr>
        <w:ind w:left="6100"/>
      </w:pPr>
      <w:r>
        <w:t>УТВЕРЖДАЮ:</w:t>
      </w:r>
    </w:p>
    <w:p>
      <w:pPr>
        <w:ind w:left="6100"/>
      </w:pPr>
      <w:r>
        <w:t>Декан ШБиП:</w:t>
      </w:r>
    </w:p>
    <w:p>
      <w:pPr>
        <w:ind w:left="6100"/>
      </w:pPr>
      <w:r>
        <w:t>Закимова А.М.</w:t>
      </w:r>
    </w:p>
    <w:p>
      <w:pPr>
        <w:ind w:left="6100"/>
      </w:pPr>
      <w:r>
        <w:t>_____________ </w:t>
      </w:r>
      <w:r>
        <w:t>2024</w:t>
      </w:r>
      <w:r>
        <w:t xml:space="preserve"> г.</w:t>
      </w:r>
    </w:p>
    <w:p/>
    <w:p/>
    <w:p/>
    <w:p/>
    <w:p/>
    <w:p/>
    <w:p/>
    <w:p/>
    <w:p/>
    <w:p>
      <w:pPr>
        <w:jc w:val="center"/>
      </w:pPr>
      <w:r>
        <w:rPr>
          <w:b w:val="1"/>
        </w:rPr>
        <w:t>БЕРЕЖЛИВОЕ ПРОИЗВОДСТВО</w:t>
      </w:r>
    </w:p>
    <w:p>
      <w:pPr>
        <w:jc w:val="center"/>
      </w:pPr>
      <w:r>
        <w:t>Рабочая учебная программа (силлабус)</w:t>
      </w:r>
    </w:p>
    <w:p/>
    <w:p/>
    <w:p/>
    <w:p/>
    <w:p>
      <w:r>
        <w:t>Образовательная программа: 6B04103 Бизнес-управление производственными системами</w:t>
      </w:r>
    </w:p>
    <w:p>
      <w:r>
        <w:t>Код дисциплины: BP4301</w:t>
      </w:r>
    </w:p>
    <w:p>
      <w:r>
        <w:t>Количество кредитов: 3</w:t>
      </w:r>
    </w:p>
    <w:p>
      <w:r>
        <w:t>Цикл: ПД</w:t>
      </w:r>
    </w:p>
    <w:p>
      <w:r>
        <w:t>Компонент: ВК</w:t>
      </w:r>
    </w:p>
    <w:p/>
    <w:p/>
    <w:p/>
    <w:p/>
    <w:p/>
    <w:p/>
    <w:p/>
    <w:p/>
    <w:p/>
    <w:p/>
    <w:p/>
    <w:p/>
    <w:p/>
    <w:p>
      <w:pPr>
        <w:jc w:val="center"/>
      </w:pPr>
      <w:r>
        <w:t>Усть-Каменогорск,</w:t>
      </w:r>
      <w:r>
        <w:t xml:space="preserve"> 2024</w:t>
      </w:r>
      <w:r>
        <w:br w:type="page"/>
      </w:r>
    </w:p>
    <w:p>
      <w:pPr>
        <w:ind w:firstLine="567"/>
      </w:pPr>
      <w:r>
        <w:t>Рабочая учебная программа (силлабус) разработана в школе «ШБиП» на основании Государственного общеобразовательного стандарта высшего образования, утв. Приказом Министра образования и науки РК от 31.10.2018г. №604, Правил организации учебного процесса по кредитной технологии (Приказ Министра образования и науки РК от 12.10.2018 г. №563), Образовательной программы, Рабочего учебного плана, Каталога элективных дисциплин.</w:t>
      </w:r>
    </w:p>
    <w:p/>
    <w:p>
      <w:r>
        <w:t>Одобрено Комиссией по обеспечению качества</w:t>
      </w:r>
    </w:p>
    <w:p/>
    <w:p>
      <w:pPr>
        <w:tabs>
          <w:tab w:val="left" w:pos="6500"/>
        </w:tabs>
      </w:pPr>
      <w:r>
        <w:t>Председатель</w:t>
        <w:tab/>
        <w:r>
          <w:t>Жанабаева А.С.</w:t>
        </w:r>
      </w:r>
    </w:p>
    <w:p>
      <w:r>
        <w:t xml:space="preserve">Дата    </w:t>
      </w:r>
      <w:r>
        <w:t>29.08.2022</w:t>
      </w:r>
      <w:r>
        <w:t xml:space="preserve"> г.   протокол </w:t>
      </w:r>
      <w:r>
        <w:t>№1</w:t>
      </w:r>
    </w:p>
    <w:p/>
    <w:p>
      <w:pPr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  <w:tab/>
      </w:r>
      <w:r>
        <w:t>Варавин Е.В.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6B04103</w:t>
      </w:r>
    </w:p>
    <w:p/>
    <w:p>
      <w:pPr>
        <w:tabs>
          <w:tab w:val="left" w:pos="6500"/>
        </w:tabs>
        <w:ind w:left="6500" w:hanging="6500"/>
        <w:jc w:val="left"/>
      </w:pPr>
      <w:r>
        <w:t>Разработал</w:t>
        <w:tab/>
      </w:r>
      <w:r>
        <w:t>Варавин Е.В.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Профессор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Рахимбердинова М.У.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Ассоциированный профессор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Казыкенов А.Ж.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Преподаватель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Кайсанова Н.Б.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Преподаватель</w:t>
      </w:r>
    </w:p>
    <w:p/>
    <w:p/>
    <w:p>
      <w:r>
        <w:br w:type="page"/>
      </w:r>
    </w:p>
    <w:p>
      <w:pPr>
        <w:jc w:val="center"/>
      </w:pPr>
      <w:r>
        <w:rPr>
          <w:b w:val="1"/>
        </w:rPr>
        <w:t>1 ХАРАКТЕРИСТИКА ДИСЦИПЛИНЫ, ЕЕ МЕСТО В УЧЕБНОМ ПРОЦЕССЕ</w:t>
      </w:r>
    </w:p>
    <w:p/>
    <w:p>
      <w:pPr>
        <w:jc w:val="center"/>
      </w:pPr>
      <w:r>
        <w:rPr>
          <w:b w:val="1"/>
        </w:rPr>
        <w:t>1.1 Краткое описание дисциплины</w:t>
      </w:r>
    </w:p>
    <w:p/>
    <w:p>
      <w:pPr>
        <w:ind w:firstLine="567"/>
      </w:pPr>
      <w:r>
        <w:t>Изучается система управления производственным предприятием, основанная на постоянном стремлении к устранению всех видов потерь. Бережливое производство предполагает вовлечение в процесс оптимизации бизнеса каждого сотрудника и максимальную ориентацию на потребителя. Рассматриваются основы бережливого проектирования; применение принципов построения бережливого производственного потока и инструментария, направленного на определение, нейтрализацию и предупреждение определенных видов потерь в процессе производства.</w:t>
      </w:r>
    </w:p>
    <w:p/>
    <w:p>
      <w:pPr>
        <w:jc w:val="center"/>
      </w:pPr>
      <w:r>
        <w:rPr>
          <w:b w:val="1"/>
        </w:rPr>
        <w:t>1.2 Цель и задачи изучения дисциплины</w:t>
      </w:r>
    </w:p>
    <w:p/>
    <w:p>
      <w:pPr>
        <w:ind w:firstLine="567"/>
      </w:pPr>
      <w:r>
        <w:t>Цель изучения дисциплины:</w:t>
      </w:r>
    </w:p>
    <w:p/>
    <w:p>
      <w:pPr>
        <w:ind w:firstLine="567"/>
      </w:pPr>
      <w:r>
        <w:t>Задачи изучения дисциплины:</w:t>
      </w:r>
    </w:p>
    <w:p/>
    <w:p>
      <w:pPr>
        <w:jc w:val="center"/>
      </w:pPr>
      <w:r>
        <w:rPr>
          <w:b w:val="1"/>
        </w:rPr>
        <w:t>1.3 Результаты обучения</w:t>
      </w:r>
    </w:p>
    <w:p/>
    <w:p>
      <w:pPr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vMerge w:val="restart"/>
            <w:tcW w:w="1119" w:type="pct"/>
          </w:tcPr>
          <w:p>
            <w:pPr>
              <w:jc w:val="center"/>
            </w:pPr>
            <w:r>
              <w:t>Формируемые ключевые компетенции</w:t>
            </w:r>
          </w:p>
        </w:tc>
        <w:tc>
          <w:tcPr>
            <w:gridSpan w:val="2"/>
          </w:tcPr>
          <w:p>
            <w:pPr>
              <w:jc w:val="center"/>
            </w:pPr>
            <w:r>
              <w:t>Результаты обучения (единицы ключевых компетенций)</w:t>
            </w:r>
          </w:p>
        </w:tc>
      </w:tr>
      <w:tr>
        <w:trPr>
          <w:tblHeader w:val="1"/>
        </w:trPr>
        <w:tc>
          <w:tcPr>
            <w:vMerge w:val="continue"/>
          </w:tcPr>
          <w:p/>
        </w:tc>
        <w:tc>
          <w:tcPr>
            <w:tcW w:w="2015" w:type="pct"/>
          </w:tcPr>
          <w:p>
            <w:pPr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>
            <w:pPr>
              <w:jc w:val="center"/>
            </w:pPr>
            <w:r>
              <w:t>дисциплины</w:t>
            </w:r>
          </w:p>
        </w:tc>
      </w:tr>
      <w:tr>
        <w:tc>
          <w:tcPr>
            <w:vMerge w:val="restart"/>
          </w:tcPr>
          <w:p>
            <w:pPr>
              <w:jc w:val="center"/>
            </w:pPr>
            <w:r>
              <w:rPr>
                <w:sz w:val="20"/>
              </w:rPr>
              <w:t>КК8 - Способность осуществлять оперативное управление деятельностью организации</w:t>
            </w:r>
          </w:p>
        </w:tc>
        <w:tc>
          <w:p>
            <w:r>
              <w:rPr>
                <w:sz w:val="20"/>
              </w:rPr>
              <w:t>РО15 - Обладать знаниями в области управления текущей деятельностью предприятия, проектирования производственных систем, уметь эффективно использовать ресурсный потенциал предприятия</w:t>
            </w:r>
          </w:p>
        </w:tc>
        <w:tc>
          <w:tcPr>
            <w:vMerge w:val="restart"/>
          </w:tcPr>
          <w:p/>
        </w:tc>
      </w:tr>
      <w:tr>
        <w:tc>
          <w:tcPr>
            <w:vMerge w:val="restart"/>
          </w:tcPr>
          <w:p>
            <w:pPr>
              <w:jc w:val="center"/>
            </w:pPr>
            <w:r>
              <w:rPr>
                <w:sz w:val="20"/>
              </w:rPr>
              <w:t>КК9 - Способность управлять производственно-техническим обеспечением, процессами снабжения, перемещения запасов в рамках концепции "бережливого производства"</w:t>
            </w:r>
          </w:p>
        </w:tc>
        <w:tc>
          <w:p>
            <w:r>
              <w:rPr>
                <w:sz w:val="20"/>
              </w:rPr>
              <w:t>РО17 - Способен обеспечивать своевременную поставку требуемых в соответствии с бизнес-планом материально-технических ресурсов для обеспечения процесса производства, организовать управление ресурсами во времени и общей цепью поставок</w:t>
            </w:r>
          </w:p>
        </w:tc>
        <w:tc>
          <w:tcPr>
            <w:vMerge w:val="continue"/>
          </w:tcPr>
          <w:p/>
        </w:tc>
      </w:tr>
    </w:tbl>
    <w:p/>
    <w:p>
      <w:pPr>
        <w:jc w:val="center"/>
      </w:pPr>
      <w:r>
        <w:rPr>
          <w:b w:val="1"/>
        </w:rPr>
        <w:t>1.4 Образовательные технологии, применяемые при освоении дисциплины</w:t>
      </w:r>
    </w:p>
    <w:p/>
    <w:p>
      <w:pPr>
        <w:jc w:val="center"/>
      </w:pPr>
      <w:r>
        <w:rPr>
          <w:b w:val="1"/>
        </w:rPr>
        <w:t>1.4.1 Основные образовательные технологии</w:t>
      </w:r>
    </w:p>
    <w:p/>
    <w:p>
      <w:pPr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/>
    <w:p/>
    <w:p>
      <w:pPr>
        <w:jc w:val="center"/>
      </w:pPr>
      <w:r>
        <w:rPr>
          <w:b w:val="1"/>
        </w:rPr>
        <w:t>1.4.2 Адаптивные образовательные технологии (инклюзивное обучение)</w:t>
      </w:r>
    </w:p>
    <w:p/>
    <w:p>
      <w:pPr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/>
    <w:p/>
    <w:p>
      <w:pPr>
        <w:jc w:val="center"/>
      </w:pPr>
      <w:r>
        <w:rPr>
          <w:b w:val="1"/>
        </w:rPr>
        <w:t>1.4.3 Инновационные образовательные технологии</w:t>
      </w:r>
    </w:p>
    <w:p/>
    <w:p>
      <w:pPr>
        <w:ind w:firstLine="567"/>
      </w:pPr>
      <w:r>
        <w:t>При проведении учебных занятий предусматривается использование следующих инновационных образовательных технологий:</w:t>
      </w:r>
    </w:p>
    <w:p/>
    <w:p>
      <w:pPr>
        <w:jc w:val="center"/>
      </w:pPr>
      <w:r>
        <w:rPr>
          <w:b w:val="1"/>
        </w:rPr>
        <w:t>1.5 Пререквизиты</w:t>
      </w:r>
    </w:p>
    <w:p/>
    <w:p>
      <w:pPr>
        <w:ind w:firstLine="567"/>
      </w:pPr>
    </w:p>
    <w:p/>
    <w:p>
      <w:pPr>
        <w:jc w:val="center"/>
      </w:pPr>
      <w:r>
        <w:rPr>
          <w:b w:val="1"/>
        </w:rPr>
        <w:t>1.6 Постреквизиты</w:t>
      </w:r>
    </w:p>
    <w:p/>
    <w:p>
      <w:pPr>
        <w:ind w:firstLine="567"/>
      </w:pPr>
      <w:r>
        <w:t>- Реинжиниринг бизнес-процессов</w:t>
      </w:r>
    </w:p>
    <w:p>
      <w:pPr>
        <w:ind w:firstLine="567"/>
      </w:pPr>
      <w:r>
        <w:t>- Экологический менеджмент</w:t>
      </w:r>
    </w:p>
    <w:p/>
    <w:p>
      <w:pPr>
        <w:jc w:val="center"/>
      </w:pPr>
      <w:r>
        <w:rPr>
          <w:b w:val="1"/>
        </w:rPr>
        <w:t>1.7 Трудоемкость дисциплины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3500"/>
          </w:tcPr>
          <w:p>
            <w:r>
              <w:t>Виды работ</w:t>
            </w:r>
          </w:p>
        </w:tc>
        <w:tc>
          <w:tcPr>
            <w:tcW w:type="pct" w:w="1500"/>
          </w:tcPr>
          <w:p>
            <w:pPr>
              <w:jc w:val="center"/>
            </w:pPr>
            <w:r>
              <w:t>часы</w:t>
            </w:r>
          </w:p>
        </w:tc>
      </w:tr>
      <w:tr>
        <w:tc>
          <w:p>
            <w:r>
              <w:t>Лекции</w:t>
            </w:r>
          </w:p>
        </w:tc>
        <w:tc>
          <w:p>
            <w:pPr>
              <w:jc w:val="center"/>
            </w:pPr>
            <w:r>
              <w:t>15</w:t>
            </w:r>
          </w:p>
        </w:tc>
      </w:tr>
      <w:tr>
        <w:tc>
          <w:p>
            <w:r>
              <w:t>Практические работы</w:t>
            </w:r>
          </w:p>
        </w:tc>
        <w:tc>
          <w:p>
            <w:pPr>
              <w:jc w:val="center"/>
            </w:pPr>
            <w:r>
              <w:t>15</w:t>
            </w:r>
          </w:p>
        </w:tc>
      </w:tr>
      <w:tr>
        <w:tc>
          <w:p>
            <w:r>
              <w:t>СРОП</w:t>
            </w:r>
          </w:p>
        </w:tc>
        <w:tc>
          <w:p>
            <w:pPr>
              <w:jc w:val="center"/>
            </w:pPr>
            <w:r>
              <w:t>15</w:t>
            </w:r>
          </w:p>
        </w:tc>
      </w:tr>
      <w:tr>
        <w:tc>
          <w:p>
            <w:r>
              <w:t>СРО</w:t>
            </w:r>
          </w:p>
        </w:tc>
        <w:tc>
          <w:p>
            <w:pPr>
              <w:jc w:val="center"/>
            </w:pPr>
            <w:r>
              <w:t>45</w:t>
            </w:r>
          </w:p>
        </w:tc>
      </w:tr>
      <w:tr>
        <w:tc>
          <w:p>
            <w:pPr>
              <w:jc w:val="left"/>
            </w:pPr>
            <w:r>
              <w:t>Форма проведения итогового контроля</w:t>
            </w:r>
          </w:p>
        </w:tc>
        <w:tc>
          <w:p>
            <w:pPr>
              <w:jc w:val="center"/>
            </w:pPr>
            <w:r>
              <w:t>экзамен</w:t>
            </w:r>
          </w:p>
        </w:tc>
      </w:tr>
    </w:tbl>
    <w:p/>
    <w:p>
      <w:pPr>
        <w:jc w:val="center"/>
      </w:pPr>
      <w:r>
        <w:rPr>
          <w:b w:val="1"/>
        </w:rPr>
        <w:t>2 СОДЕРЖАНИЕ ДИСЦИПЛИНЫ</w:t>
      </w:r>
    </w:p>
    <w:p/>
    <w:p>
      <w:pPr>
        <w:jc w:val="center"/>
      </w:pPr>
      <w:r>
        <w:rPr>
          <w:b w:val="1"/>
        </w:rPr>
        <w:t>2.1 Тематический план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w="147" w:type="pct"/>
          </w:tcPr>
          <w:p>
            <w:pPr>
              <w:jc w:val="center"/>
            </w:pPr>
            <w:r>
              <w:t>№</w:t>
            </w:r>
          </w:p>
        </w:tc>
        <w:tc>
          <w:tcPr>
            <w:tcW w:w="3383" w:type="pct"/>
          </w:tcPr>
          <w:p>
            <w:pPr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>
            <w:pPr>
              <w:jc w:val="center"/>
            </w:pPr>
            <w:r>
              <w:t>Трудоемкость в часах</w:t>
            </w:r>
          </w:p>
        </w:tc>
        <w:tc>
          <w:tcPr>
            <w:tcW w:w="653" w:type="pct"/>
          </w:tcPr>
          <w:p>
            <w:pPr>
              <w:jc w:val="center"/>
            </w:pPr>
            <w:r>
              <w:t>Ссылка на литературу</w:t>
            </w:r>
          </w:p>
        </w:tc>
      </w:tr>
      <w:tr>
        <w:tc>
          <w:tcPr>
            <w:gridSpan w:val="4"/>
          </w:tcPr>
          <w:p>
            <w:pPr>
              <w:jc w:val="center"/>
            </w:pPr>
            <w:r>
              <w:rPr>
                <w:b w:val="1"/>
              </w:rPr>
              <w:t>Лекционные занятия</w:t>
            </w:r>
          </w:p>
        </w:tc>
      </w:tr>
      <w:tr>
        <w:tc>
          <w:p>
            <w:pPr>
              <w:jc w:val="center"/>
            </w:pPr>
            <w:r>
              <w:t>1</w:t>
            </w:r>
          </w:p>
        </w:tc>
        <w:tc>
          <w:p>
            <w:r>
              <w:t>Тема 1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</w:t>
            </w:r>
          </w:p>
        </w:tc>
      </w:tr>
      <w:tr>
        <w:tc>
          <w:tcPr>
            <w:gridSpan w:val="2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0</w:t>
            </w:r>
          </w:p>
        </w:tc>
        <w:tc>
          <w:p/>
        </w:tc>
      </w:tr>
      <w:tr>
        <w:tc>
          <w:tcPr>
            <w:gridSpan w:val="4"/>
          </w:tcPr>
          <w:p>
            <w:pPr>
              <w:jc w:val="center"/>
            </w:pPr>
            <w:r>
              <w:rPr>
                <w:b w:val="1"/>
              </w:rPr>
              <w:t>Практические занятия</w:t>
            </w:r>
          </w:p>
        </w:tc>
      </w:tr>
      <w:tr>
        <w:tc>
          <w:p>
            <w:pPr>
              <w:jc w:val="center"/>
            </w:pPr>
            <w:r>
              <w:t>1</w:t>
            </w:r>
          </w:p>
        </w:tc>
        <w:tc>
          <w:p>
            <w:r>
              <w:t>Тема 1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</w:t>
            </w:r>
          </w:p>
        </w:tc>
      </w:tr>
      <w:tr>
        <w:tc>
          <w:tcPr>
            <w:gridSpan w:val="2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0</w:t>
            </w:r>
          </w:p>
        </w:tc>
        <w:tc>
          <w:p/>
        </w:tc>
      </w:tr>
    </w:tbl>
    <w:p/>
    <w:p>
      <w:pPr>
        <w:jc w:val="center"/>
      </w:pPr>
      <w:r>
        <w:rPr>
          <w:b w:val="1"/>
        </w:rPr>
        <w:t>2.2 Задания для самостоятельной работы обучающегося (СРО)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rHeight w:val="1229"/>
          <w:tblHeader w:val="1"/>
        </w:trPr>
        <w:tc>
          <w:tcPr>
            <w:tcW w:w="1026" w:type="pct"/>
          </w:tcPr>
          <w:p>
            <w:pPr>
              <w:jc w:val="center"/>
            </w:pPr>
            <w:r>
              <w:t>Тема</w:t>
            </w:r>
          </w:p>
        </w:tc>
        <w:tc>
          <w:tcPr>
            <w:tcW w:w="1140" w:type="pct"/>
          </w:tcPr>
          <w:p>
            <w:pPr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>
            <w:pPr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>
            <w:pPr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>
            <w:pPr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>
            <w:pPr>
              <w:jc w:val="center"/>
            </w:pPr>
            <w:r>
              <w:t>Ссылка на литературу</w:t>
            </w:r>
          </w:p>
        </w:tc>
      </w:tr>
      <w:tr>
        <w:tc>
          <w:p/>
        </w:tc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</w:tbl>
    <w:p/>
    <w:p>
      <w:pPr>
        <w:jc w:val="center"/>
      </w:pPr>
      <w:r>
        <w:rPr>
          <w:b w:val="1"/>
        </w:rPr>
        <w:t>2.3 График сдачи заданий по дисциплине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1850"/>
            <w:vMerge w:val="restart"/>
          </w:tcPr>
          <w:p>
            <w:pPr>
              <w:jc w:val="center"/>
            </w:pPr>
            <w:r>
              <w:t>Вид задания</w:t>
            </w:r>
          </w:p>
        </w:tc>
        <w:tc>
          <w:tcPr>
            <w:gridSpan w:val="10"/>
          </w:tcPr>
          <w:p>
            <w:pPr>
              <w:jc w:val="center"/>
            </w:pPr>
            <w:r>
              <w:t>Академический период обучения, неделя</w:t>
            </w:r>
          </w:p>
        </w:tc>
      </w:tr>
      <w:tr>
        <w:trPr>
          <w:tblHeader w:val="1"/>
        </w:trPr>
        <w:tc>
          <w:tcPr>
            <w:vMerge w:val="continue"/>
          </w:tcPr>
          <w:p/>
        </w:tc>
        <w:tc>
          <w:tcPr>
            <w:tcW w:type="pct" w:w="315"/>
          </w:tcPr>
          <w:p>
            <w:pPr>
              <w:jc w:val="center"/>
            </w:pPr>
            <w:r>
              <w:t>1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2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3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4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5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6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7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8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9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10</w:t>
            </w:r>
          </w:p>
        </w:tc>
      </w:tr>
      <w:tr>
        <w:tc>
          <w:tcPr>
            <w:gridSpan w:val="11"/>
          </w:tcPr>
          <w:p>
            <w:pPr>
              <w:jc w:val="center"/>
            </w:pPr>
            <w:r>
              <w:t>Знание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Понимание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Применение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Анализ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</w:tbl>
    <w:p/>
    <w:p>
      <w:pPr>
        <w:jc w:val="center"/>
      </w:pPr>
      <w:r>
        <w:rPr>
          <w:b w:val="1"/>
        </w:rPr>
        <w:t>3 ОЦЕНКА ЗНАНИЙ ОБУЧАЮЩЕГОСЯ</w:t>
      </w:r>
    </w:p>
    <w:p/>
    <w:p>
      <w:pPr>
        <w:ind w:firstLine="567"/>
      </w:pPr>
      <w:r>
        <w:t>Преподаватель проводит все виды текущего контроля и выводит соответствующую оценку текущей успеваемости обучающихся два раза в академический период (семестр, триместр, квартал). По результатам текущего контроля формируется рейтинг 1 и 2. При этом учебные достижения обучающегося оцениваются путем накапливания баллов по отдельным видам заданий от 0 до 100. Оценка работы обучающегося в академическом периоде осуществляется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500"/>
          </w:tcPr>
          <w:p>
            <w:pPr>
              <w:jc w:val="center"/>
            </w:pPr>
            <w:r>
              <w:t>Период</w:t>
            </w:r>
          </w:p>
        </w:tc>
        <w:tc>
          <w:tcPr>
            <w:tcW w:type="pct" w:w="2500"/>
          </w:tcPr>
          <w:p>
            <w:pPr>
              <w:jc w:val="center"/>
            </w:pPr>
            <w:r>
              <w:t>Вид задания</w:t>
            </w:r>
          </w:p>
        </w:tc>
        <w:tc>
          <w:tcPr>
            <w:tcW w:type="pct" w:w="1000"/>
          </w:tcPr>
          <w:p>
            <w:pPr>
              <w:jc w:val="center"/>
            </w:pPr>
            <w:r>
              <w:t>Количество баллов (max)</w:t>
            </w:r>
          </w:p>
        </w:tc>
        <w:tc>
          <w:tcPr>
            <w:tcW w:type="pct" w:w="500"/>
          </w:tcPr>
          <w:p>
            <w:pPr>
              <w:jc w:val="center"/>
            </w:pPr>
            <w:r>
              <w:t>Итого</w:t>
            </w:r>
          </w:p>
        </w:tc>
      </w:tr>
      <w:tr>
        <w:tc>
          <w:tcPr>
            <w:tcW w:w="0" w:type="auto"/>
            <w:vMerge w:val="restart"/>
          </w:tcPr>
          <w:p>
            <w:pPr>
              <w:jc w:val="center"/>
            </w:pPr>
            <w:r>
              <w:t>1-й рубежный контроль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 w:val="restart"/>
          </w:tcPr>
          <w:p>
            <w:pPr>
              <w:jc w:val="center"/>
            </w:pPr>
            <w:r>
              <w:t>0-100</w:t>
            </w: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 w:val="restart"/>
          </w:tcPr>
          <w:p>
            <w:pPr>
              <w:jc w:val="center"/>
            </w:pPr>
            <w:r>
              <w:t>2-й рубежный контроль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 w:val="restart"/>
          </w:tcPr>
          <w:p>
            <w:pPr>
              <w:jc w:val="center"/>
            </w:pPr>
            <w:r>
              <w:t>0-100</w:t>
            </w: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p>
            <w:pPr>
              <w:jc w:val="center"/>
            </w:pPr>
            <w:r>
              <w:t>Итоговый контроль</w:t>
            </w:r>
          </w:p>
        </w:tc>
        <w:tc>
          <w:tcPr>
            <w:hMerge w:val="restart"/>
          </w:tcPr>
          <w:p>
            <w:r>
              <w:t>экзамен</w:t>
            </w:r>
          </w:p>
        </w:tc>
        <w:tc>
          <w:tcPr>
            <w:hMerge w:val="continue"/>
          </w:tcPr>
          <w:p/>
        </w:tc>
        <w:tc>
          <w:p>
            <w:pPr>
              <w:jc w:val="center"/>
            </w:pPr>
            <w:r>
              <w:t>0-100</w:t>
            </w:r>
          </w:p>
        </w:tc>
      </w:tr>
    </w:tbl>
    <w:p/>
    <w:p>
      <w:pPr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>
      <w:pPr>
        <w:ind w:firstLine="567"/>
      </w:pPr>
      <w:r>
        <w:t>- 40% результата, полученного на экзамене;</w:t>
      </w:r>
    </w:p>
    <w:p>
      <w:pPr>
        <w:ind w:firstLine="567"/>
      </w:pPr>
      <w:r>
        <w:t>- 60% результатов текущей успеваемости.</w:t>
      </w:r>
    </w:p>
    <w:p/>
    <w:p>
      <w:pPr>
        <w:ind w:firstLine="567"/>
      </w:pPr>
      <w:r>
        <w:t>Формула подсчета итоговой оценки:</w:t>
      </w:r>
    </w:p>
    <w:p/>
    <w:p>
      <w:pPr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  <m:ctrlPr>
                  <w:rPr>
                    <w:rFonts w:ascii="Cambria Math"/>
                    <w:i/>
                    <w:szCs w:val="28"/>
                  </w:rPr>
                </m:ctrlP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  <m:ctrlPr>
                  <w:rPr>
                    <w:rFonts w:ascii="Cambria Math"/>
                    <w:i/>
                    <w:szCs w:val="28"/>
                  </w:rPr>
                </m:ctrlPr>
              </m:sub>
            </m:sSub>
            <m:ctrlPr>
              <w:rPr>
                <w:rFonts w:ascii="Cambria Math"/>
                <w:i/>
                <w:szCs w:val="28"/>
              </w:rPr>
            </m:ctrlPr>
          </m:num>
          <m:den>
            <m:r>
              <w:rPr>
                <w:rFonts w:ascii="Cambria Math"/>
                <w:szCs w:val="28"/>
              </w:rPr>
              <m:t>2</m:t>
            </m:r>
            <m:ctrlPr>
              <w:rPr>
                <w:rFonts w:ascii="Cambria Math"/>
                <w:i/>
                <w:szCs w:val="28"/>
              </w:rPr>
            </m:ctrlP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  <w:tab/>
        <w:tab/>
        <w:tab/>
        <w:tab/>
        <w:t>(1)</w:t>
      </w:r>
    </w:p>
    <w:p/>
    <w:p>
      <w:pPr>
        <w:ind w:firstLine="567"/>
      </w:pPr>
      <w:r>
        <w:t>где, 	 Р1, Р2 – цифровые эквиваленты оценок первого, второго рейтингов соответственно; Э – цифровой эквивалент оценки на экзамене.</w:t>
      </w:r>
    </w:p>
    <w:p/>
    <w:p>
      <w:pPr>
        <w:ind w:firstLine="567"/>
      </w:pPr>
      <w:r>
        <w:t>Итоговая буквенная оценка и ее цифровой эквивалент в баллах:</w:t>
      </w:r>
    </w:p>
    <w:p/>
    <w:p>
      <w:pPr>
        <w:ind w:firstLine="567"/>
      </w:pPr>
      <w:r>
        <w:rPr>
          <w:b w:val="1"/>
        </w:rPr>
        <w:t>Балльно-рейтинговая буквенная система оценки учета учебных достижений, обучающихся с переводом их в традиционную шкалу оценок и ECTS (иситиэс)</w:t>
      </w:r>
    </w:p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w="600" w:type="pct"/>
          </w:tcPr>
          <w:p>
            <w:pPr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>
            <w:pPr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>
            <w:pPr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>
            <w:pPr>
              <w:jc w:val="center"/>
            </w:pPr>
            <w:r>
              <w:t>Оценка по традиционной системе</w:t>
            </w:r>
          </w:p>
        </w:tc>
        <w:tc>
          <w:p>
            <w:pPr>
              <w:jc w:val="center"/>
            </w:pPr>
            <w:r>
              <w:t>Критерий</w:t>
            </w:r>
          </w:p>
        </w:tc>
      </w:tr>
      <w:tr>
        <w:tc>
          <w:p>
            <w:pPr>
              <w:jc w:val="center"/>
            </w:pPr>
            <w:r>
              <w:t>A</w:t>
            </w:r>
          </w:p>
        </w:tc>
        <w:tc>
          <w:p>
            <w:pPr>
              <w:jc w:val="center"/>
            </w:pPr>
            <w:r>
              <w:t>4.0</w:t>
            </w:r>
          </w:p>
        </w:tc>
        <w:tc>
          <w:p>
            <w:pPr>
              <w:jc w:val="center"/>
            </w:pPr>
            <w:r>
              <w:t>95-100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Отлично</w:t>
            </w:r>
          </w:p>
        </w:tc>
        <w:tc>
          <w:tcPr>
            <w:vMerge w:val="restart"/>
          </w:tcPr>
          <w:p>
            <w:r>
              <w:t>Теоретическое содержание курса освоено полностью, без пробелов необходимые практические навыки работы с освоенным материалом сформированы, все предусмотренные программой обучения учебные задания выполнены, качество их выполнения оценено числом баллов, близким к максимальному.</w:t>
            </w:r>
          </w:p>
        </w:tc>
      </w:tr>
      <w:tr>
        <w:tc>
          <w:p>
            <w:pPr>
              <w:jc w:val="center"/>
            </w:pPr>
            <w:r>
              <w:t>A-</w:t>
            </w:r>
          </w:p>
        </w:tc>
        <w:tc>
          <w:p>
            <w:pPr>
              <w:jc w:val="center"/>
            </w:pPr>
            <w:r>
              <w:t>3.67</w:t>
            </w:r>
          </w:p>
        </w:tc>
        <w:tc>
          <w:p>
            <w:pPr>
              <w:jc w:val="center"/>
            </w:pPr>
            <w:r>
              <w:t>90-94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B+</w:t>
            </w:r>
          </w:p>
        </w:tc>
        <w:tc>
          <w:p>
            <w:pPr>
              <w:jc w:val="center"/>
            </w:pPr>
            <w:r>
              <w:t>3.33</w:t>
            </w:r>
          </w:p>
        </w:tc>
        <w:tc>
          <w:p>
            <w:pPr>
              <w:jc w:val="center"/>
            </w:pPr>
            <w:r>
              <w:t>85-89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Хорошо</w:t>
            </w:r>
          </w:p>
        </w:tc>
        <w:tc>
          <w:tcPr>
            <w:vMerge w:val="restart"/>
          </w:tcPr>
          <w:p>
            <w:r>
              <w:t>Теоретическое содержание курса освоено полностью, без пробелов, некоторые практические навыки работы с освоенным материалом сформированы недостаточно, все предусмотренные программой обучения учебные задания выполнены, качество выполнения ни одного из них не оценено минимальным числом баллов, некоторые виды заданий выполнены с ошибками.</w:t>
            </w:r>
          </w:p>
        </w:tc>
      </w:tr>
      <w:tr>
        <w:tc>
          <w:p>
            <w:pPr>
              <w:jc w:val="center"/>
            </w:pPr>
            <w:r>
              <w:t>B</w:t>
            </w:r>
          </w:p>
        </w:tc>
        <w:tc>
          <w:p>
            <w:pPr>
              <w:jc w:val="center"/>
            </w:pPr>
            <w:r>
              <w:t>3.0</w:t>
            </w:r>
          </w:p>
        </w:tc>
        <w:tc>
          <w:p>
            <w:pPr>
              <w:jc w:val="center"/>
            </w:pPr>
            <w:r>
              <w:t>80-84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B-</w:t>
            </w:r>
          </w:p>
        </w:tc>
        <w:tc>
          <w:p>
            <w:pPr>
              <w:jc w:val="center"/>
            </w:pPr>
            <w:r>
              <w:t>2.67</w:t>
            </w:r>
          </w:p>
        </w:tc>
        <w:tc>
          <w:p>
            <w:pPr>
              <w:jc w:val="center"/>
            </w:pPr>
            <w:r>
              <w:t>75-79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C+</w:t>
            </w:r>
          </w:p>
        </w:tc>
        <w:tc>
          <w:p>
            <w:pPr>
              <w:jc w:val="center"/>
            </w:pPr>
            <w:r>
              <w:t>2.33</w:t>
            </w:r>
          </w:p>
        </w:tc>
        <w:tc>
          <w:p>
            <w:pPr>
              <w:jc w:val="center"/>
            </w:pPr>
            <w:r>
              <w:t>70-74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C</w:t>
            </w:r>
          </w:p>
        </w:tc>
        <w:tc>
          <w:p>
            <w:pPr>
              <w:jc w:val="center"/>
            </w:pPr>
            <w:r>
              <w:t>2.0</w:t>
            </w:r>
          </w:p>
        </w:tc>
        <w:tc>
          <w:p>
            <w:pPr>
              <w:jc w:val="center"/>
            </w:pPr>
            <w:r>
              <w:t>65-69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Удовлетворительно</w:t>
            </w:r>
          </w:p>
        </w:tc>
        <w:tc>
          <w:tcPr>
            <w:vMerge w:val="restart"/>
          </w:tcPr>
          <w:p>
            <w:r>
              <w:t>Теоретическое содержание курса освоено частично, но пробелы не носят существенного характера, необходимые практические навыки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заданий, возможно, содержат ошибки</w:t>
            </w:r>
          </w:p>
        </w:tc>
      </w:tr>
      <w:tr>
        <w:tc>
          <w:p>
            <w:pPr>
              <w:jc w:val="center"/>
            </w:pPr>
            <w:r>
              <w:t>C-</w:t>
            </w:r>
          </w:p>
        </w:tc>
        <w:tc>
          <w:p>
            <w:pPr>
              <w:jc w:val="center"/>
            </w:pPr>
            <w:r>
              <w:t>1.67</w:t>
            </w:r>
          </w:p>
        </w:tc>
        <w:tc>
          <w:p>
            <w:pPr>
              <w:jc w:val="center"/>
            </w:pPr>
            <w:r>
              <w:t>60-64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D+</w:t>
            </w:r>
          </w:p>
        </w:tc>
        <w:tc>
          <w:p>
            <w:pPr>
              <w:jc w:val="center"/>
            </w:pPr>
            <w:r>
              <w:t>1.33</w:t>
            </w:r>
          </w:p>
        </w:tc>
        <w:tc>
          <w:p>
            <w:pPr>
              <w:jc w:val="center"/>
            </w:pPr>
            <w:r>
              <w:t>55-59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D</w:t>
            </w:r>
          </w:p>
        </w:tc>
        <w:tc>
          <w:p>
            <w:pPr>
              <w:jc w:val="center"/>
            </w:pPr>
            <w:r>
              <w:t>1.0</w:t>
            </w:r>
          </w:p>
        </w:tc>
        <w:tc>
          <w:p>
            <w:pPr>
              <w:jc w:val="center"/>
            </w:pPr>
            <w:r>
              <w:t>50-54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FX</w:t>
            </w:r>
          </w:p>
        </w:tc>
        <w:tc>
          <w:p>
            <w:pPr>
              <w:jc w:val="center"/>
            </w:pPr>
            <w:r>
              <w:t>0.5</w:t>
            </w:r>
          </w:p>
        </w:tc>
        <w:tc>
          <w:p>
            <w:pPr>
              <w:jc w:val="center"/>
            </w:pPr>
            <w:r>
              <w:t>25-49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Неудовлетворительно</w:t>
            </w:r>
          </w:p>
        </w:tc>
        <w:tc>
          <w:tcPr>
            <w:vMerge w:val="restart"/>
          </w:tcPr>
          <w:p>
            <w:r>
              <w:t>Теоретическое содержание курса не освоено, необходимые практические навыки работы не сформированы, выполненные учебные задания содержат грубые ошибки, дополнительная самостоятельная работа над материалом курса не приведет к существенному повышению качества выполнения учебных заданий.</w:t>
            </w:r>
          </w:p>
        </w:tc>
      </w:tr>
      <w:tr>
        <w:tc>
          <w:p>
            <w:pPr>
              <w:jc w:val="center"/>
            </w:pPr>
            <w:r>
              <w:t>F</w:t>
            </w:r>
          </w:p>
        </w:tc>
        <w:tc>
          <w:p>
            <w:pPr>
              <w:jc w:val="center"/>
            </w:pPr>
            <w:r>
              <w:t>0</w:t>
            </w:r>
          </w:p>
        </w:tc>
        <w:tc>
          <w:p>
            <w:pPr>
              <w:jc w:val="center"/>
            </w:pPr>
            <w:r>
              <w:t>0-24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</w:tbl>
    <w:p/>
    <w:p>
      <w:pPr>
        <w:jc w:val="center"/>
      </w:pPr>
      <w:r>
        <w:rPr>
          <w:b w:val="1"/>
        </w:rPr>
        <w:t>4 ПОЛИТИКА ДИСЦИПЛИНЫ</w:t>
      </w:r>
    </w:p>
    <w:p/>
    <w:p>
      <w:pPr>
        <w:ind w:firstLine="567"/>
      </w:pPr>
      <w:r>
        <w:t>Обучающийся обязан:</w:t>
      </w:r>
    </w:p>
    <w:p/>
    <w:p>
      <w:pPr>
        <w:jc w:val="center"/>
      </w:pPr>
      <w:r>
        <w:rPr>
          <w:b w:val="1"/>
        </w:rPr>
        <w:t>5 СПИСОК РЕКОМЕНДУЕМОЙ ЛИТЕРАТУРЫ</w:t>
      </w:r>
    </w:p>
    <w:p/>
    <w:p>
      <w:pPr>
        <w:jc w:val="center"/>
      </w:pPr>
      <w:r>
        <w:rPr>
          <w:b w:val="1"/>
        </w:rPr>
        <w:t>5.1 Основная литература</w:t>
      </w:r>
    </w:p>
    <w:p/>
    <w:p>
      <w:pPr>
        <w:ind w:firstLine="567"/>
      </w:pPr>
      <w:r>
        <w:t>Основная литература</w:t>
      </w:r>
    </w:p>
    <w:p/>
    <w:p>
      <w:pPr>
        <w:jc w:val="center"/>
      </w:pPr>
      <w:r>
        <w:rPr>
          <w:b w:val="1"/>
        </w:rPr>
        <w:t>5.2 Дополнительная литература</w:t>
      </w:r>
    </w:p>
    <w:p/>
    <w:p>
      <w:pPr>
        <w:ind w:firstLine="567"/>
      </w:pPr>
      <w:r>
        <w:t>Дополнительная литература</w:t>
      </w:r>
    </w:p>
    <w:sectPr>
      <w:headerReference w:type="default" r:id="rId2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header1.xml><?xml version="1.0" encoding="utf-8"?>
<w:hdr xmlns:wp="http://schemas.openxmlformats.org/drawingml/2006/wordprocessingDrawing" xmlns:r="http://schemas.openxmlformats.org/officeDocument/2006/relationships" xmlns:w="http://schemas.openxmlformats.org/wordprocessingml/2006/main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</w:tblPr>
    <w:tblGrid/>
    <w:tr>
      <w:trPr>
        <w:cantSplit/>
        <w:trHeight w:val="353"/>
      </w:trPr>
      <w:tc>
        <w:tcPr>
          <w:tcW w:w="1129" w:type="dxa"/>
          <w:vMerge w:val="restart"/>
          <w:vAlign w:val="center"/>
        </w:tcPr>
        <w:p>
          <w:pPr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gridSpan w:val="2"/>
          <w:vAlign w:val="center"/>
        </w:tcPr>
        <w:p>
          <w:pPr>
            <w:pStyle w:val="header"/>
          </w:pPr>
          <w:r>
            <w:t>ВОСТОЧНО-КАЗАХСТАНСКИЙ ТЕХНИЧЕСКИЙ УНИВЕРСИСТЕТ им. Д. СЕРИКБАЕВА</w:t>
          </w:r>
        </w:p>
      </w:tc>
      <w:tc>
        <w:tcPr>
          <w:tcW w:w="1501" w:type="dxa"/>
          <w:vMerge w:val="restart"/>
          <w:vAlign w:val="center"/>
        </w:tcPr>
        <w:p>
          <w:pPr>
            <w:pStyle w:val="header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rPr>
              <w:noProof/>
            </w:rPr>
            <w:fldChar w:fldCharType="end"/>
          </w:r>
        </w:p>
      </w:tc>
    </w:tr>
    <w:tr>
      <w:trPr>
        <w:cantSplit/>
        <w:trHeight w:val="310"/>
      </w:trPr>
      <w:tc>
        <w:tcPr>
          <w:tcW w:w="1129" w:type="dxa"/>
          <w:vMerge/>
        </w:tcPr>
        <w:p/>
      </w:tc>
      <w:tc>
        <w:tcPr>
          <w:tcW w:w="1921" w:type="dxa"/>
          <w:vAlign w:val="center"/>
        </w:tcPr>
        <w:p>
          <w:pPr>
            <w:pStyle w:val="header"/>
          </w:pPr>
          <w:r>
            <w:t>Система менеджмента качества</w:t>
          </w:r>
        </w:p>
      </w:tc>
      <w:tc>
        <w:tcPr>
          <w:vAlign w:val="center"/>
        </w:tcPr>
        <w:p>
          <w:pPr>
            <w:pStyle w:val="header"/>
          </w:pPr>
          <w:r>
            <w:t>И-НАО "ВКТУ" 026-II-2021</w:t>
          </w:r>
        </w:p>
        <w:p>
          <w:pPr>
            <w:pStyle w:val="header"/>
          </w:pPr>
          <w:r>
            <w:t>Разработка и оформление 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/>
      </w:tc>
    </w:tr>
  </w:tbl>
  <w:p/>
</w:hdr>
</file>

<file path=word/settings.xml><?xml version="1.0" encoding="utf-8"?>
<w:settings xmlns:w="http://schemas.openxmlformats.org/wordprocessingml/2006/main">
  <w:view w:val="print"/>
  <w:zoom w:percent="100"/>
</w:settings>
</file>

<file path=word/styles.xml><?xml version="1.0" encoding="utf-8"?>
<w:styles xmlns:w="http://schemas.openxmlformats.org/wordprocessingml/2006/main">
  <w:style w:default="true" w:type="paragraph" w:styleId="default">
    <w:pPr>
      <w:spacing w:after="0" w:line="240" w:lineRule="auto"/>
      <w:jc w:val="both"/>
    </w:pPr>
    <w:rPr>
      <w:rFonts w:ascii="Times New Roman" w:cs="Times New Roman" w:hAnsi="Times New Roman"/>
      <w:sz w:val="24"/>
    </w:rPr>
  </w:style>
  <w:style w:type="paragraph" w:styleId="title">
    <w:pPr>
      <w:jc w:val="center"/>
      <w:spacing w:after="0" w:line="240" w:lineRule="auto"/>
    </w:pPr>
    <w:rPr>
      <w:b w:val="1"/>
      <w:rFonts w:ascii="Times New Roman" w:cs="Times New Roman" w:hAnsi="Times New Roman"/>
      <w:sz w:val="22"/>
    </w:rPr>
  </w:style>
  <w:style w:type="paragraph" w:styleId="header">
    <w:pPr>
      <w:jc w:val="center"/>
      <w:spacing w:after="0" w:line="240" w:lineRule="auto"/>
    </w:pPr>
    <w:rPr>
      <w:b w:val="1"/>
      <w:rFonts w:ascii="Tahoma" w:cs="Tahoma" w:hAnsi="Tahoma"/>
      <w:sz w:val="1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2" /><Relationship Type="http://schemas.openxmlformats.org/officeDocument/2006/relationships/settings" Target="/word/settings.xml" Id="rId3" /><Relationship Type="http://schemas.openxmlformats.org/officeDocument/2006/relationships/header" Target="/word/header1.xml" Id="rId2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